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E5697" w14:textId="77777777" w:rsidR="000D1039" w:rsidRDefault="000D1039" w:rsidP="000D1039">
      <w:pPr>
        <w:jc w:val="center"/>
        <w:rPr>
          <w:b/>
          <w:sz w:val="40"/>
        </w:rPr>
      </w:pPr>
    </w:p>
    <w:p w14:paraId="080C946F" w14:textId="77777777"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14:paraId="65A714ED" w14:textId="77777777" w:rsidR="000D1039" w:rsidRPr="000D1039" w:rsidRDefault="000D1039" w:rsidP="000D1039">
      <w:pPr>
        <w:jc w:val="center"/>
        <w:rPr>
          <w:i/>
          <w:sz w:val="40"/>
        </w:rPr>
      </w:pPr>
      <w:bookmarkStart w:id="0" w:name="_GoBack"/>
      <w:bookmarkEnd w:id="0"/>
      <w:r w:rsidRPr="000D1039">
        <w:rPr>
          <w:i/>
          <w:sz w:val="40"/>
        </w:rPr>
        <w:t>(Check-list)</w:t>
      </w:r>
    </w:p>
    <w:p w14:paraId="55DAC78D" w14:textId="77777777"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14:paraId="026B2B15" w14:textId="77777777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14:paraId="452644F0" w14:textId="77777777"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82F876C" w14:textId="77777777"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14:paraId="790815C9" w14:textId="77777777" w:rsidTr="007060AD">
        <w:trPr>
          <w:trHeight w:val="705"/>
        </w:trPr>
        <w:tc>
          <w:tcPr>
            <w:tcW w:w="9215" w:type="dxa"/>
            <w:vAlign w:val="center"/>
          </w:tcPr>
          <w:p w14:paraId="646066DF" w14:textId="77777777"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6157533A" w14:textId="77777777"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14:paraId="6E20BD39" w14:textId="77777777"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14:paraId="3AC936E5" w14:textId="77777777" w:rsidTr="007060AD">
        <w:trPr>
          <w:trHeight w:val="843"/>
        </w:trPr>
        <w:tc>
          <w:tcPr>
            <w:tcW w:w="9215" w:type="dxa"/>
            <w:vAlign w:val="center"/>
          </w:tcPr>
          <w:p w14:paraId="4638B761" w14:textId="77777777"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08DFEBB8" w14:textId="1DD71536"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r w:rsidR="00A94D6E" w:rsidRPr="00092612">
              <w:rPr>
                <w:rFonts w:cstheme="minorHAnsi"/>
                <w:i/>
              </w:rPr>
              <w:t>Utiliser</w:t>
            </w:r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14:paraId="11629F67" w14:textId="77777777"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14:paraId="0F89F6AE" w14:textId="77777777"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14:paraId="3F44944F" w14:textId="77777777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14:paraId="544BC62F" w14:textId="77777777"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79FECE7D" w14:textId="77777777"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14:paraId="09EFF45D" w14:textId="77777777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14:paraId="44FA8120" w14:textId="77777777"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14:paraId="59388E14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9AF6CDB" w14:textId="77777777"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14:paraId="3048A3AC" w14:textId="77777777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14:paraId="557E4F5A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69B7190B" w14:textId="77777777"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883219" w:rsidRPr="00F958F1" w14:paraId="656D418B" w14:textId="77777777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1F06" w14:textId="77777777" w:rsidR="00883219" w:rsidRPr="006379D1" w:rsidRDefault="00883219" w:rsidP="00883219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6379D1">
              <w:rPr>
                <w:rFonts w:cstheme="minorHAnsi"/>
                <w:b/>
                <w:color w:val="000000" w:themeColor="text1"/>
              </w:rPr>
              <w:t>Kbis</w:t>
            </w:r>
            <w:proofErr w:type="spellEnd"/>
            <w:r w:rsidRPr="006379D1">
              <w:rPr>
                <w:rFonts w:cstheme="minorHAnsi"/>
                <w:b/>
                <w:color w:val="000000" w:themeColor="text1"/>
              </w:rPr>
              <w:t xml:space="preserve"> </w:t>
            </w:r>
            <w:r w:rsidRPr="006379D1">
              <w:rPr>
                <w:rFonts w:cstheme="minorHAnsi"/>
                <w:i/>
                <w:color w:val="000000" w:themeColor="text1"/>
                <w:sz w:val="20"/>
              </w:rPr>
              <w:t>(de moins de 2 mois)</w:t>
            </w:r>
            <w:r w:rsidRPr="006379D1">
              <w:rPr>
                <w:rFonts w:cstheme="minorHAnsi"/>
                <w:b/>
                <w:color w:val="000000" w:themeColor="text1"/>
              </w:rPr>
              <w:t xml:space="preserve"> </w:t>
            </w:r>
          </w:p>
          <w:p w14:paraId="156C95F1" w14:textId="721BD443" w:rsidR="00883219" w:rsidRPr="00F958F1" w:rsidRDefault="00883219" w:rsidP="00883219">
            <w:pPr>
              <w:rPr>
                <w:rFonts w:cstheme="minorHAnsi"/>
              </w:rPr>
            </w:pPr>
            <w:r w:rsidRPr="006379D1">
              <w:rPr>
                <w:rFonts w:cstheme="minorHAnsi"/>
                <w:i/>
                <w:color w:val="000000" w:themeColor="text1"/>
              </w:rPr>
              <w:t>(facultatif, document à titre d’information)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086F" w14:textId="1854CAC6" w:rsidR="00883219" w:rsidRPr="00AF2477" w:rsidRDefault="00883219" w:rsidP="008832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883219" w:rsidRPr="00F958F1" w14:paraId="07739E87" w14:textId="77777777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BED8" w14:textId="0E849952" w:rsidR="00883219" w:rsidRPr="00172DD9" w:rsidRDefault="00883219" w:rsidP="00883219">
            <w:pPr>
              <w:rPr>
                <w:rFonts w:cstheme="minorHAnsi"/>
                <w:b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6C9D" w14:textId="0FFA99D6" w:rsidR="00883219" w:rsidRPr="00AF2477" w:rsidRDefault="00883219" w:rsidP="008832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883219" w:rsidRPr="00F958F1" w14:paraId="5DE8BB0A" w14:textId="77777777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6CAF" w14:textId="77777777" w:rsidR="00883219" w:rsidRPr="00F958F1" w:rsidRDefault="00883219" w:rsidP="00883219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315E" w14:textId="77777777" w:rsidR="00883219" w:rsidRPr="00AF2477" w:rsidRDefault="00883219" w:rsidP="008832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14:paraId="59BB402B" w14:textId="77777777" w:rsidR="000D1039" w:rsidRDefault="000D1039"/>
    <w:p w14:paraId="7F998B02" w14:textId="77777777"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B90ED" w14:textId="77777777" w:rsidR="00D46DC4" w:rsidRDefault="00D46DC4" w:rsidP="000D1039">
      <w:pPr>
        <w:spacing w:after="0" w:line="240" w:lineRule="auto"/>
      </w:pPr>
      <w:r>
        <w:separator/>
      </w:r>
    </w:p>
  </w:endnote>
  <w:endnote w:type="continuationSeparator" w:id="0">
    <w:p w14:paraId="25D3DE7E" w14:textId="77777777" w:rsidR="00D46DC4" w:rsidRDefault="00D46DC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C8519" w14:textId="77777777" w:rsidR="00D46DC4" w:rsidRDefault="00D46DC4" w:rsidP="000D1039">
      <w:pPr>
        <w:spacing w:after="0" w:line="240" w:lineRule="auto"/>
      </w:pPr>
      <w:r>
        <w:separator/>
      </w:r>
    </w:p>
  </w:footnote>
  <w:footnote w:type="continuationSeparator" w:id="0">
    <w:p w14:paraId="6B6AC6DA" w14:textId="77777777" w:rsidR="00D46DC4" w:rsidRDefault="00D46DC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14:paraId="3D2AE961" w14:textId="77777777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5887CCAF" w14:textId="77777777"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6CC42E23" w14:textId="1FBD9C8C" w:rsidR="000D1039" w:rsidRDefault="00281EE6" w:rsidP="005129FA">
          <w:pPr>
            <w:pStyle w:val="RdaliaEn-tte"/>
            <w:tabs>
              <w:tab w:val="left" w:pos="705"/>
              <w:tab w:val="right" w:pos="2931"/>
            </w:tabs>
            <w:rPr>
              <w:szCs w:val="24"/>
            </w:rPr>
          </w:pPr>
          <w:r w:rsidRPr="00A94D6E">
            <w:rPr>
              <w:szCs w:val="24"/>
            </w:rPr>
            <w:t>25</w:t>
          </w:r>
          <w:r w:rsidR="005129FA">
            <w:rPr>
              <w:szCs w:val="24"/>
            </w:rPr>
            <w:t>260</w:t>
          </w:r>
          <w:r w:rsidRPr="00A94D6E">
            <w:rPr>
              <w:szCs w:val="24"/>
            </w:rPr>
            <w:t xml:space="preserve"> </w:t>
          </w:r>
          <w:r w:rsidR="00A94D6E" w:rsidRPr="00A94D6E">
            <w:rPr>
              <w:szCs w:val="24"/>
            </w:rPr>
            <w:t>– Acquisition d’une fraiseuse 5 axes à commande numérique pour l’atelier industriel de l’aé</w:t>
          </w:r>
          <w:r w:rsidR="00A94D6E">
            <w:rPr>
              <w:szCs w:val="24"/>
            </w:rPr>
            <w:t xml:space="preserve">ronautique de </w:t>
          </w:r>
          <w:r w:rsidR="007770E9">
            <w:rPr>
              <w:szCs w:val="24"/>
            </w:rPr>
            <w:t>Bordeaux</w:t>
          </w:r>
          <w:r w:rsidR="00A94D6E">
            <w:rPr>
              <w:szCs w:val="24"/>
            </w:rPr>
            <w:t xml:space="preserve"> </w:t>
          </w:r>
        </w:p>
      </w:tc>
    </w:tr>
  </w:tbl>
  <w:p w14:paraId="32480109" w14:textId="77777777"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A68C0"/>
    <w:rsid w:val="000D1039"/>
    <w:rsid w:val="000F2D83"/>
    <w:rsid w:val="00135046"/>
    <w:rsid w:val="001457A0"/>
    <w:rsid w:val="001508F2"/>
    <w:rsid w:val="00172DD9"/>
    <w:rsid w:val="00213DCB"/>
    <w:rsid w:val="00234A17"/>
    <w:rsid w:val="00281EE6"/>
    <w:rsid w:val="002A1536"/>
    <w:rsid w:val="002A3523"/>
    <w:rsid w:val="00403E62"/>
    <w:rsid w:val="00447333"/>
    <w:rsid w:val="0049010F"/>
    <w:rsid w:val="00496587"/>
    <w:rsid w:val="004B5852"/>
    <w:rsid w:val="005129FA"/>
    <w:rsid w:val="00547814"/>
    <w:rsid w:val="006337E5"/>
    <w:rsid w:val="006379D1"/>
    <w:rsid w:val="006600DB"/>
    <w:rsid w:val="006C5089"/>
    <w:rsid w:val="007060AD"/>
    <w:rsid w:val="007770E9"/>
    <w:rsid w:val="007A5DB1"/>
    <w:rsid w:val="007B1294"/>
    <w:rsid w:val="00813AF1"/>
    <w:rsid w:val="008449A0"/>
    <w:rsid w:val="00883219"/>
    <w:rsid w:val="00A94D6E"/>
    <w:rsid w:val="00AF2477"/>
    <w:rsid w:val="00C32233"/>
    <w:rsid w:val="00CE38DF"/>
    <w:rsid w:val="00D46DC4"/>
    <w:rsid w:val="00D7313E"/>
    <w:rsid w:val="00E01DDB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FC29B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9010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9010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9010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9010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9010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0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0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8fb32b6-fbae-48ba-a9a2-b443c8bd30b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VIGNOL Eric</cp:lastModifiedBy>
  <cp:revision>7</cp:revision>
  <cp:lastPrinted>2025-07-28T12:28:00Z</cp:lastPrinted>
  <dcterms:created xsi:type="dcterms:W3CDTF">2025-07-28T10:00:00Z</dcterms:created>
  <dcterms:modified xsi:type="dcterms:W3CDTF">2026-01-05T14:32:00Z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